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A047" w14:textId="560BDEC7" w:rsidR="00962E92" w:rsidRPr="006A7229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bookmarkStart w:id="0" w:name="_GoBack"/>
      <w:bookmarkEnd w:id="0"/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0D3B0A">
        <w:rPr>
          <w:rFonts w:ascii="Times New Roman" w:hAnsi="Times New Roman"/>
          <w:b/>
        </w:rPr>
        <w:t>OSNOVNA ŠKOLA CAVTAT</w:t>
      </w:r>
    </w:p>
    <w:p w14:paraId="5F84A5CC" w14:textId="77777777" w:rsidR="00962E92" w:rsidRDefault="00962E92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D9736C" w14:textId="6CBDB625" w:rsidR="00C5106F" w:rsidRPr="006A7229" w:rsidRDefault="001866DC" w:rsidP="00AD4DED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IZMJENE I DOPUNE PRORAČUNA ZA 2024. GODINU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38"/>
        <w:gridCol w:w="3849"/>
        <w:gridCol w:w="1232"/>
        <w:gridCol w:w="2184"/>
        <w:gridCol w:w="1353"/>
      </w:tblGrid>
      <w:tr w:rsidR="00DB7B50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32CC6151" w:rsidR="000F2FFB" w:rsidRPr="006A7229" w:rsidRDefault="00DB7B50" w:rsidP="00DB7B5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61E31566" w:rsidR="000F2FFB" w:rsidRPr="006A7229" w:rsidRDefault="00DB7B50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02256897" w:rsidR="000F2FFB" w:rsidRPr="006A7229" w:rsidRDefault="00DB7B50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DB7B50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294B0A2E" w:rsidR="000F2FFB" w:rsidRPr="006A7229" w:rsidRDefault="00206528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78.974</w:t>
            </w:r>
          </w:p>
        </w:tc>
        <w:tc>
          <w:tcPr>
            <w:tcW w:w="1418" w:type="dxa"/>
            <w:vAlign w:val="center"/>
          </w:tcPr>
          <w:p w14:paraId="190F5FAE" w14:textId="2B732F46" w:rsidR="000F2FFB" w:rsidRPr="006A7229" w:rsidRDefault="00C15CCA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2.358</w:t>
            </w:r>
          </w:p>
        </w:tc>
        <w:tc>
          <w:tcPr>
            <w:tcW w:w="1417" w:type="dxa"/>
            <w:vAlign w:val="center"/>
          </w:tcPr>
          <w:p w14:paraId="7DD665B5" w14:textId="7AA97905" w:rsidR="000F2FFB" w:rsidRPr="006A7229" w:rsidRDefault="00C15CCA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81.332</w:t>
            </w:r>
          </w:p>
        </w:tc>
      </w:tr>
      <w:tr w:rsidR="00DB7B50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1B93D663" w:rsidR="000F2FFB" w:rsidRPr="006A7229" w:rsidRDefault="00206528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2.131.823</w:t>
            </w:r>
          </w:p>
        </w:tc>
        <w:tc>
          <w:tcPr>
            <w:tcW w:w="1418" w:type="dxa"/>
            <w:vAlign w:val="center"/>
          </w:tcPr>
          <w:p w14:paraId="45E12BF4" w14:textId="0E3D448C" w:rsidR="000F2FFB" w:rsidRPr="006A7229" w:rsidRDefault="00143E2F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89.888</w:t>
            </w:r>
          </w:p>
        </w:tc>
        <w:tc>
          <w:tcPr>
            <w:tcW w:w="1417" w:type="dxa"/>
            <w:vAlign w:val="center"/>
          </w:tcPr>
          <w:p w14:paraId="6A600B33" w14:textId="10D8EC4F" w:rsidR="000F2FFB" w:rsidRPr="006A7229" w:rsidRDefault="00143E2F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2.221.711</w:t>
            </w:r>
          </w:p>
        </w:tc>
      </w:tr>
      <w:tr w:rsidR="00DB7B50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62E93F31" w:rsidR="000F2FFB" w:rsidRPr="006A7229" w:rsidRDefault="00774D2A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237.4</w:t>
            </w:r>
            <w:r w:rsidR="00206528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418" w:type="dxa"/>
            <w:vAlign w:val="center"/>
          </w:tcPr>
          <w:p w14:paraId="0EBE4ED7" w14:textId="1A7B5A4C" w:rsidR="000F2FFB" w:rsidRPr="006A7229" w:rsidRDefault="00143E2F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-8.615</w:t>
            </w:r>
          </w:p>
        </w:tc>
        <w:tc>
          <w:tcPr>
            <w:tcW w:w="1417" w:type="dxa"/>
            <w:vAlign w:val="center"/>
          </w:tcPr>
          <w:p w14:paraId="35E33718" w14:textId="532AFD7A" w:rsidR="000F2FFB" w:rsidRPr="006A7229" w:rsidRDefault="00774D2A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228.871</w:t>
            </w:r>
          </w:p>
        </w:tc>
      </w:tr>
      <w:tr w:rsidR="00DB7B50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7006E9A2" w:rsidR="000F2FFB" w:rsidRPr="006A7229" w:rsidRDefault="00D6578E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2.448.2</w:t>
            </w:r>
            <w:r w:rsidR="00206528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418" w:type="dxa"/>
            <w:vAlign w:val="center"/>
          </w:tcPr>
          <w:p w14:paraId="7542810B" w14:textId="0B0FC571" w:rsidR="000F2FFB" w:rsidRPr="006A7229" w:rsidRDefault="00143E2F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83.631</w:t>
            </w:r>
          </w:p>
        </w:tc>
        <w:tc>
          <w:tcPr>
            <w:tcW w:w="1417" w:type="dxa"/>
            <w:vAlign w:val="center"/>
          </w:tcPr>
          <w:p w14:paraId="135D6A2D" w14:textId="281A26DB" w:rsidR="000F2FFB" w:rsidRPr="006A7229" w:rsidRDefault="00143E2F" w:rsidP="0020652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2.531.914</w:t>
            </w:r>
          </w:p>
        </w:tc>
      </w:tr>
    </w:tbl>
    <w:p w14:paraId="164EEF4F" w14:textId="77777777" w:rsidR="00E570B5" w:rsidRPr="006A7229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7371"/>
      </w:tblGrid>
      <w:tr w:rsidR="00FD0400" w:rsidRPr="006A7229" w14:paraId="49D4B3D9" w14:textId="77777777" w:rsidTr="00F57487">
        <w:tc>
          <w:tcPr>
            <w:tcW w:w="1985" w:type="dxa"/>
            <w:gridSpan w:val="2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gridSpan w:val="2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gridSpan w:val="2"/>
            <w:vAlign w:val="center"/>
          </w:tcPr>
          <w:p w14:paraId="6F130B61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8A88225" w14:textId="05CBBEB6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  <w:r w:rsidR="008B51CE">
              <w:rPr>
                <w:rFonts w:ascii="Times New Roman" w:hAnsi="Times New Roman"/>
              </w:rPr>
              <w:t xml:space="preserve"> 1.1.1)</w:t>
            </w:r>
            <w:r w:rsidR="00B65004">
              <w:rPr>
                <w:rFonts w:ascii="Times New Roman" w:hAnsi="Times New Roman"/>
              </w:rPr>
              <w:t>.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gridSpan w:val="2"/>
            <w:vAlign w:val="center"/>
          </w:tcPr>
          <w:p w14:paraId="211A3BA7" w14:textId="6BF9810E" w:rsidR="00FD0400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63DB7682" w14:textId="385EBC89" w:rsidR="00C15CCA" w:rsidRPr="00C15CCA" w:rsidRDefault="005C0AB8" w:rsidP="00C15CCA">
            <w:pPr>
              <w:pStyle w:val="xmsonormal"/>
              <w:jc w:val="both"/>
              <w:rPr>
                <w:rFonts w:ascii="Times New Roman" w:hAnsi="Times New Roman"/>
              </w:rPr>
            </w:pPr>
            <w:r w:rsidRPr="00C15CCA">
              <w:rPr>
                <w:rFonts w:ascii="Times New Roman" w:hAnsi="Times New Roman"/>
              </w:rPr>
              <w:t>Povećanje obzirom na povećanje bruto satnice</w:t>
            </w:r>
            <w:r w:rsidR="008B51CE" w:rsidRPr="00C15CCA">
              <w:rPr>
                <w:rFonts w:ascii="Times New Roman" w:hAnsi="Times New Roman"/>
              </w:rPr>
              <w:t xml:space="preserve"> pomoćnika</w:t>
            </w:r>
            <w:r w:rsidRPr="00C15CCA">
              <w:rPr>
                <w:rFonts w:ascii="Times New Roman" w:hAnsi="Times New Roman"/>
              </w:rPr>
              <w:t xml:space="preserve"> u nastavi, te dodat</w:t>
            </w:r>
            <w:r w:rsidR="00C15CCA" w:rsidRPr="00C15CCA">
              <w:rPr>
                <w:rFonts w:ascii="Times New Roman" w:hAnsi="Times New Roman"/>
              </w:rPr>
              <w:t xml:space="preserve">no odobrena sredstva </w:t>
            </w:r>
            <w:r w:rsidR="00C15CCA">
              <w:rPr>
                <w:rFonts w:ascii="Times New Roman" w:hAnsi="Times New Roman"/>
              </w:rPr>
              <w:t xml:space="preserve"> koja se očekuju</w:t>
            </w:r>
            <w:r w:rsidR="00C15CCA" w:rsidRPr="00C15CCA">
              <w:rPr>
                <w:rFonts w:ascii="Times New Roman" w:hAnsi="Times New Roman"/>
              </w:rPr>
              <w:t xml:space="preserve"> prijavom programa sufinanciranja eu projekata.</w:t>
            </w:r>
          </w:p>
          <w:p w14:paraId="066F46AB" w14:textId="5D80ADC1" w:rsidR="00FD0400" w:rsidRPr="00C15CCA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gridSpan w:val="2"/>
            <w:vAlign w:val="center"/>
          </w:tcPr>
          <w:p w14:paraId="6286046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1866DC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</w:rPr>
            </w:pPr>
            <w:r w:rsidRPr="001866DC">
              <w:rPr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gridSpan w:val="2"/>
            <w:vAlign w:val="center"/>
          </w:tcPr>
          <w:p w14:paraId="173C9E68" w14:textId="575A0F13" w:rsidR="00FD0400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0B95A838" w14:textId="77777777" w:rsidR="00FD0400" w:rsidRPr="006A7229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9781064" w14:textId="77777777" w:rsidR="005310E2" w:rsidRPr="006A7229" w:rsidRDefault="005310E2" w:rsidP="00C278C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5A37A8F5" w:rsidR="00C92FE6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649EC1C" w14:textId="054F816B" w:rsidR="00C92FE6" w:rsidRPr="00A03AB6" w:rsidRDefault="00A03AB6" w:rsidP="00C278C4">
            <w:pPr>
              <w:pStyle w:val="NoSpacing"/>
              <w:jc w:val="both"/>
              <w:rPr>
                <w:rFonts w:ascii="Times New Roman" w:hAnsi="Times New Roman"/>
              </w:rPr>
            </w:pPr>
            <w:r w:rsidRPr="00A03AB6">
              <w:rPr>
                <w:rFonts w:ascii="Times New Roman" w:hAnsi="Times New Roman"/>
              </w:rPr>
              <w:t>Došlo je do povećanja ukupnog iznosa</w:t>
            </w:r>
            <w:r>
              <w:rPr>
                <w:rFonts w:ascii="Times New Roman" w:hAnsi="Times New Roman"/>
              </w:rPr>
              <w:t xml:space="preserve"> iz razloga što</w:t>
            </w:r>
            <w:r w:rsidR="00C15CCA">
              <w:rPr>
                <w:rFonts w:ascii="Times New Roman" w:hAnsi="Times New Roman"/>
              </w:rPr>
              <w:t xml:space="preserve"> su planirani troškovi plaća</w:t>
            </w:r>
            <w:r w:rsidR="005E3880">
              <w:rPr>
                <w:rFonts w:ascii="Times New Roman" w:hAnsi="Times New Roman"/>
              </w:rPr>
              <w:t xml:space="preserve"> za prosinac 2024.godine., te su time </w:t>
            </w:r>
            <w:r w:rsidR="00062D58">
              <w:rPr>
                <w:rFonts w:ascii="Times New Roman" w:hAnsi="Times New Roman"/>
              </w:rPr>
              <w:t>povećani</w:t>
            </w:r>
            <w:r w:rsidR="005E3880">
              <w:rPr>
                <w:rFonts w:ascii="Times New Roman" w:hAnsi="Times New Roman"/>
              </w:rPr>
              <w:t xml:space="preserve"> rashodi za zaposlene.</w:t>
            </w:r>
            <w:r w:rsidR="00C15CCA">
              <w:rPr>
                <w:rFonts w:ascii="Times New Roman" w:hAnsi="Times New Roman"/>
              </w:rPr>
              <w:t xml:space="preserve"> Također su dodatno odobrena sredstva za materijalne rashode.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DB0A30F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07E79217" w:rsidR="004B385B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5FEDF6AC" w14:textId="77777777" w:rsidR="004B385B" w:rsidRPr="006A7229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C205842" w14:textId="67F6B2DD" w:rsidR="00822905" w:rsidRPr="006A7229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5AFA82D1" w:rsidR="00822905" w:rsidRPr="006A7229" w:rsidRDefault="001866DC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3BE9C054" w14:textId="6A624C2A" w:rsidR="00822905" w:rsidRPr="00062D58" w:rsidRDefault="00062D58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I. rebalansu nisu planirana sredstva za kapitalna ulaganja. Sredstva su naknadno odobrena zbog </w:t>
            </w:r>
            <w:r w:rsidR="005E3880">
              <w:rPr>
                <w:rFonts w:ascii="Times New Roman" w:hAnsi="Times New Roman"/>
              </w:rPr>
              <w:t>potrebe za hitnom intervencijom</w:t>
            </w:r>
            <w:r>
              <w:rPr>
                <w:rFonts w:ascii="Times New Roman" w:hAnsi="Times New Roman"/>
              </w:rPr>
              <w:t xml:space="preserve"> na </w:t>
            </w:r>
            <w:r w:rsidR="00A61C29">
              <w:rPr>
                <w:rFonts w:ascii="Times New Roman" w:hAnsi="Times New Roman"/>
              </w:rPr>
              <w:t>električnim instalacijama škole.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7C008B84" w14:textId="2C84ABC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0440B2D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1F53730" w14:textId="698F2F3A" w:rsidR="003762AC" w:rsidRPr="00966815" w:rsidRDefault="00966815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Povećanje potrebnih sredstva za financiranje radnih materijala iz razlog</w:t>
            </w:r>
            <w:r w:rsidR="00A61C29">
              <w:rPr>
                <w:rFonts w:ascii="Times New Roman" w:hAnsi="Times New Roman"/>
              </w:rPr>
              <w:t>a što je povećanje cijena istih</w:t>
            </w:r>
            <w:r>
              <w:rPr>
                <w:rFonts w:ascii="Times New Roman" w:hAnsi="Times New Roman"/>
              </w:rPr>
              <w:t xml:space="preserve"> u </w:t>
            </w:r>
            <w:r w:rsidR="00A61C29">
              <w:rPr>
                <w:rFonts w:ascii="Times New Roman" w:hAnsi="Times New Roman"/>
              </w:rPr>
              <w:t>odnosu na prošlu godinu</w:t>
            </w:r>
            <w:r>
              <w:rPr>
                <w:rFonts w:ascii="Times New Roman" w:hAnsi="Times New Roman"/>
              </w:rPr>
              <w:t xml:space="preserve"> bilo veće od očekivanog.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D8FB41B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21001895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C64DD54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EA37076" w14:textId="77777777" w:rsidR="003762AC" w:rsidRPr="006A7229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6533B3D2" w:rsidR="003762AC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9E9C8F3" w14:textId="77777777" w:rsidR="003762AC" w:rsidRPr="006A7229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B13CF3B" w14:textId="77777777" w:rsidR="0034598D" w:rsidRPr="006A7229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6EACED44" w:rsidR="0034598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F078ABF" w14:textId="12E63545" w:rsidR="0034598D" w:rsidRPr="00966815" w:rsidRDefault="00966815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školskoj godini 2024./25. upisan je manji broj učenika nego u prethodnoj</w:t>
            </w:r>
            <w:r w:rsidR="009040DD">
              <w:rPr>
                <w:rFonts w:ascii="Times New Roman" w:hAnsi="Times New Roman"/>
              </w:rPr>
              <w:t>,  a  učenicima su dani na upotrebu korišteni udžbenici koji su u primjerenom stanju.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7B47C4F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7407360" w:rsidR="00867C2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CD05B70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67B68942" w14:textId="77777777" w:rsidR="00867C2D" w:rsidRPr="006A7229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2FFD01ED" w:rsidR="00867C2D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E9ECA14" w14:textId="5A2D7D78" w:rsidR="00867C2D" w:rsidRPr="009040DD" w:rsidRDefault="009040D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9040DD">
              <w:rPr>
                <w:rFonts w:ascii="Times New Roman" w:hAnsi="Times New Roman"/>
              </w:rPr>
              <w:t>Smanjenj</w:t>
            </w:r>
            <w:r>
              <w:rPr>
                <w:rFonts w:ascii="Times New Roman" w:hAnsi="Times New Roman"/>
              </w:rPr>
              <w:t>e</w:t>
            </w:r>
            <w:r w:rsidR="00A80CCC">
              <w:rPr>
                <w:rFonts w:ascii="Times New Roman" w:hAnsi="Times New Roman"/>
              </w:rPr>
              <w:t xml:space="preserve"> prvenstveno iz</w:t>
            </w:r>
            <w:r w:rsidRPr="009040DD">
              <w:rPr>
                <w:rFonts w:ascii="Times New Roman" w:hAnsi="Times New Roman"/>
              </w:rPr>
              <w:t xml:space="preserve"> razloga</w:t>
            </w:r>
            <w:r>
              <w:rPr>
                <w:rFonts w:ascii="Times New Roman" w:hAnsi="Times New Roman"/>
              </w:rPr>
              <w:t xml:space="preserve"> što nije došlo do očekivanog povećanja iznos</w:t>
            </w:r>
            <w:r w:rsidR="00A80CCC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za  osiguranje učenike, te smanjenja iznosa za </w:t>
            </w:r>
            <w:r w:rsidR="00A80CCC">
              <w:rPr>
                <w:rFonts w:ascii="Times New Roman" w:hAnsi="Times New Roman"/>
              </w:rPr>
              <w:t xml:space="preserve">prijevoz na terensku nastavu, obzirom da </w:t>
            </w:r>
            <w:r>
              <w:rPr>
                <w:rFonts w:ascii="Times New Roman" w:hAnsi="Times New Roman"/>
              </w:rPr>
              <w:t xml:space="preserve"> se išlo na relacije koje su bliže Školi.</w:t>
            </w:r>
            <w:r w:rsidR="00A80CCC">
              <w:rPr>
                <w:rFonts w:ascii="Times New Roman" w:hAnsi="Times New Roman"/>
              </w:rPr>
              <w:t xml:space="preserve"> 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26DB150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7445EB22" w:rsidR="004F01FE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86C2EAE" w14:textId="48162011" w:rsidR="004F01FE" w:rsidRPr="00A80CCC" w:rsidRDefault="00A80CC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Vlastiti prihodi nisu ostvareni</w:t>
            </w:r>
            <w:r w:rsidRPr="00A80CCC">
              <w:rPr>
                <w:rFonts w:ascii="Times New Roman" w:hAnsi="Times New Roman"/>
              </w:rPr>
              <w:t>.</w:t>
            </w: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1CBF043" w14:textId="77777777" w:rsidR="004F01FE" w:rsidRPr="006A7229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3B3E0FD1" w:rsidR="004F01FE" w:rsidRPr="006A7229" w:rsidRDefault="001866D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6945AF0" w14:textId="10DAFEE5" w:rsidR="004F01FE" w:rsidRPr="00A80CCC" w:rsidRDefault="00A80CC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CCC">
              <w:rPr>
                <w:rFonts w:ascii="Times New Roman" w:hAnsi="Times New Roman"/>
              </w:rPr>
              <w:t>Smanjenje iz razloga</w:t>
            </w:r>
            <w:r w:rsidR="00A61C29">
              <w:rPr>
                <w:rFonts w:ascii="Times New Roman" w:hAnsi="Times New Roman"/>
              </w:rPr>
              <w:t xml:space="preserve"> što je u školsku prehranu uključen manji broj učenika.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D504347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131677FE" w:rsidR="0039660C" w:rsidRPr="006A7229" w:rsidRDefault="001866DC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2D87841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294650C" w14:textId="77777777" w:rsidR="0039660C" w:rsidRPr="006A7229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025B20CD" w:rsidR="0039660C" w:rsidRPr="006A7229" w:rsidRDefault="001866DC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7EF21A2" w14:textId="46318CB3" w:rsidR="0039660C" w:rsidRPr="00A80CCC" w:rsidRDefault="000D3B0A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Povećanje potrebnih sredstava.</w:t>
            </w:r>
            <w:r w:rsidR="00A61C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 </w:t>
            </w:r>
            <w:r w:rsidR="00A80CCC">
              <w:rPr>
                <w:rFonts w:ascii="Times New Roman" w:hAnsi="Times New Roman"/>
              </w:rPr>
              <w:t>ovoj školskoj godini organiziran</w:t>
            </w:r>
            <w:r>
              <w:rPr>
                <w:rFonts w:ascii="Times New Roman" w:hAnsi="Times New Roman"/>
              </w:rPr>
              <w:t xml:space="preserve"> je</w:t>
            </w:r>
            <w:r w:rsidR="00A80CCC">
              <w:rPr>
                <w:rFonts w:ascii="Times New Roman" w:hAnsi="Times New Roman"/>
              </w:rPr>
              <w:t xml:space="preserve"> produženi bora</w:t>
            </w:r>
            <w:r>
              <w:rPr>
                <w:rFonts w:ascii="Times New Roman" w:hAnsi="Times New Roman"/>
              </w:rPr>
              <w:t>vak u dvije skupine, te su osigurana</w:t>
            </w:r>
            <w:r w:rsidR="00A80CCC">
              <w:rPr>
                <w:rFonts w:ascii="Times New Roman" w:hAnsi="Times New Roman"/>
              </w:rPr>
              <w:t xml:space="preserve"> sredstva za plaće i ost</w:t>
            </w:r>
            <w:r w:rsidR="00A61C29">
              <w:rPr>
                <w:rFonts w:ascii="Times New Roman" w:hAnsi="Times New Roman"/>
              </w:rPr>
              <w:t>ale rashode za  dvije učiteljice</w:t>
            </w:r>
            <w:r w:rsidR="00A80CCC">
              <w:rPr>
                <w:rFonts w:ascii="Times New Roman" w:hAnsi="Times New Roman"/>
              </w:rPr>
              <w:t>.</w:t>
            </w:r>
            <w:r w:rsidR="00440657">
              <w:rPr>
                <w:rFonts w:ascii="Times New Roman" w:hAnsi="Times New Roman"/>
              </w:rPr>
              <w:t xml:space="preserve"> Također, rasla je cijena obroka po učeniku.</w:t>
            </w:r>
          </w:p>
        </w:tc>
      </w:tr>
    </w:tbl>
    <w:p w14:paraId="0F3D3D6A" w14:textId="77777777" w:rsidR="0039660C" w:rsidRDefault="0039660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31100957" w14:textId="7075FE36" w:rsidR="000D3B0A" w:rsidRDefault="000D3B0A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Ravnateljica:                                                                                                            Voditelj računovodstva:</w:t>
      </w:r>
    </w:p>
    <w:p w14:paraId="3E609AEE" w14:textId="4FBDF16D" w:rsidR="000D3B0A" w:rsidRDefault="000D3B0A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 Kukuljica                                                                                                                       Katarina Ćumo</w:t>
      </w:r>
    </w:p>
    <w:p w14:paraId="3B69B64B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9B28" w14:textId="77777777" w:rsidR="00253E98" w:rsidRDefault="00253E98" w:rsidP="00BD5B5D">
      <w:r>
        <w:separator/>
      </w:r>
    </w:p>
  </w:endnote>
  <w:endnote w:type="continuationSeparator" w:id="0">
    <w:p w14:paraId="146CE342" w14:textId="77777777" w:rsidR="00253E98" w:rsidRDefault="00253E98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8DDC" w14:textId="77777777" w:rsidR="00253E98" w:rsidRDefault="00253E98" w:rsidP="00BD5B5D">
      <w:r>
        <w:separator/>
      </w:r>
    </w:p>
  </w:footnote>
  <w:footnote w:type="continuationSeparator" w:id="0">
    <w:p w14:paraId="29EF3437" w14:textId="77777777" w:rsidR="00253E98" w:rsidRDefault="00253E98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2D5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D3B0A"/>
    <w:rsid w:val="000D7B4E"/>
    <w:rsid w:val="000E607C"/>
    <w:rsid w:val="000F0A0E"/>
    <w:rsid w:val="000F2FFB"/>
    <w:rsid w:val="000F6306"/>
    <w:rsid w:val="000F6774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3E2F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866DC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6528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53E98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2EBC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E214B"/>
    <w:rsid w:val="003F31B0"/>
    <w:rsid w:val="003F33A1"/>
    <w:rsid w:val="003F3B3B"/>
    <w:rsid w:val="003F5A4C"/>
    <w:rsid w:val="004017E7"/>
    <w:rsid w:val="004037F1"/>
    <w:rsid w:val="00405AC9"/>
    <w:rsid w:val="00406D44"/>
    <w:rsid w:val="004106E5"/>
    <w:rsid w:val="0041711A"/>
    <w:rsid w:val="00417D12"/>
    <w:rsid w:val="00422B12"/>
    <w:rsid w:val="00424982"/>
    <w:rsid w:val="0042777E"/>
    <w:rsid w:val="004310B9"/>
    <w:rsid w:val="00436A07"/>
    <w:rsid w:val="00437A62"/>
    <w:rsid w:val="00440657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274A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0AB8"/>
    <w:rsid w:val="005C19B9"/>
    <w:rsid w:val="005C5882"/>
    <w:rsid w:val="005D3A71"/>
    <w:rsid w:val="005E2325"/>
    <w:rsid w:val="005E2E4F"/>
    <w:rsid w:val="005E3572"/>
    <w:rsid w:val="005E36EC"/>
    <w:rsid w:val="005E3880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2A08"/>
    <w:rsid w:val="00765823"/>
    <w:rsid w:val="007659D5"/>
    <w:rsid w:val="00766BC5"/>
    <w:rsid w:val="00774D2A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08E9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51CE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40DD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66815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3AB6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1C29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0CCC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65004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A32"/>
    <w:rsid w:val="00BF5DF5"/>
    <w:rsid w:val="00BF7BD2"/>
    <w:rsid w:val="00C01175"/>
    <w:rsid w:val="00C06558"/>
    <w:rsid w:val="00C10322"/>
    <w:rsid w:val="00C15CCA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471C6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578E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B7B50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2E17"/>
    <w:rsid w:val="00F46E6A"/>
    <w:rsid w:val="00F4742F"/>
    <w:rsid w:val="00F5060D"/>
    <w:rsid w:val="00F54AC0"/>
    <w:rsid w:val="00F54DE4"/>
    <w:rsid w:val="00F55A92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  <w:style w:type="paragraph" w:customStyle="1" w:styleId="xmsonormal">
    <w:name w:val="x_msonormal"/>
    <w:basedOn w:val="Normal"/>
    <w:rsid w:val="00C15CCA"/>
    <w:pPr>
      <w:jc w:val="left"/>
    </w:pPr>
    <w:rPr>
      <w:rFonts w:ascii="Calibri" w:eastAsiaTheme="minorHAnsi" w:hAnsi="Calibri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4969B-E6D7-4423-91E2-E5218443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Računovodstvo</cp:lastModifiedBy>
  <cp:revision>2</cp:revision>
  <cp:lastPrinted>2024-10-29T11:58:00Z</cp:lastPrinted>
  <dcterms:created xsi:type="dcterms:W3CDTF">2024-12-06T09:23:00Z</dcterms:created>
  <dcterms:modified xsi:type="dcterms:W3CDTF">2024-12-06T09:23:00Z</dcterms:modified>
</cp:coreProperties>
</file>